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32F" w:rsidRPr="0001532F" w:rsidRDefault="0001532F" w:rsidP="0001532F">
      <w:pPr>
        <w:shd w:val="clear" w:color="auto" w:fill="FFFFFF"/>
        <w:spacing w:after="0" w:line="240" w:lineRule="auto"/>
        <w:rPr>
          <w:rFonts w:ascii="Times New Roman" w:eastAsia="Times New Roman" w:hAnsi="Times New Roman" w:cs="Times New Roman"/>
          <w:color w:val="333333"/>
          <w:kern w:val="36"/>
          <w:sz w:val="24"/>
          <w:szCs w:val="24"/>
        </w:rPr>
      </w:pPr>
      <w:r w:rsidRPr="0001532F">
        <w:rPr>
          <w:rFonts w:ascii="Times New Roman" w:eastAsia="Times New Roman" w:hAnsi="Times New Roman" w:cs="Times New Roman"/>
          <w:color w:val="333333"/>
          <w:sz w:val="24"/>
          <w:szCs w:val="24"/>
        </w:rPr>
        <w:fldChar w:fldCharType="begin"/>
      </w:r>
      <w:r w:rsidRPr="0001532F">
        <w:rPr>
          <w:rFonts w:ascii="Times New Roman" w:eastAsia="Times New Roman" w:hAnsi="Times New Roman" w:cs="Times New Roman"/>
          <w:color w:val="333333"/>
          <w:sz w:val="24"/>
          <w:szCs w:val="24"/>
        </w:rPr>
        <w:instrText xml:space="preserve"> HYPERLINK "http://online.wsj.com/public/search?article-doc-type=%7BHeard+on+the+Street%7D&amp;HEADER_TEXT=heard+on+the+street&amp;mod=flashline" </w:instrText>
      </w:r>
      <w:r w:rsidRPr="0001532F">
        <w:rPr>
          <w:rFonts w:ascii="Times New Roman" w:eastAsia="Times New Roman" w:hAnsi="Times New Roman" w:cs="Times New Roman"/>
          <w:color w:val="333333"/>
          <w:sz w:val="24"/>
          <w:szCs w:val="24"/>
        </w:rPr>
        <w:fldChar w:fldCharType="separate"/>
      </w:r>
      <w:r w:rsidRPr="0001532F">
        <w:rPr>
          <w:rFonts w:ascii="Times New Roman" w:eastAsia="Times New Roman" w:hAnsi="Times New Roman" w:cs="Times New Roman"/>
          <w:color w:val="0000FF"/>
          <w:sz w:val="24"/>
          <w:szCs w:val="24"/>
        </w:rPr>
        <w:t>Heard on the Street</w:t>
      </w:r>
      <w:r w:rsidRPr="0001532F">
        <w:rPr>
          <w:rFonts w:ascii="Times New Roman" w:eastAsia="Times New Roman" w:hAnsi="Times New Roman" w:cs="Times New Roman"/>
          <w:color w:val="333333"/>
          <w:sz w:val="24"/>
          <w:szCs w:val="24"/>
        </w:rPr>
        <w:fldChar w:fldCharType="end"/>
      </w:r>
      <w:r w:rsidRPr="0001532F">
        <w:rPr>
          <w:rFonts w:ascii="Times New Roman" w:eastAsia="Times New Roman" w:hAnsi="Times New Roman" w:cs="Times New Roman"/>
          <w:color w:val="333333"/>
          <w:sz w:val="24"/>
          <w:szCs w:val="24"/>
        </w:rPr>
        <w:t xml:space="preserve">: </w:t>
      </w:r>
      <w:r w:rsidRPr="0001532F">
        <w:rPr>
          <w:rFonts w:ascii="Times New Roman" w:eastAsia="Times New Roman" w:hAnsi="Times New Roman" w:cs="Times New Roman"/>
          <w:color w:val="333333"/>
          <w:kern w:val="36"/>
          <w:sz w:val="24"/>
          <w:szCs w:val="24"/>
        </w:rPr>
        <w:t>Europe’s Good-Enough Bank Stress Tests</w:t>
      </w:r>
    </w:p>
    <w:p w:rsidR="0001532F" w:rsidRPr="0001532F" w:rsidRDefault="0001532F" w:rsidP="0001532F">
      <w:pPr>
        <w:shd w:val="clear" w:color="auto" w:fill="FFFFFF"/>
        <w:spacing w:line="240" w:lineRule="auto"/>
        <w:outlineLvl w:val="1"/>
        <w:rPr>
          <w:rFonts w:ascii="Times New Roman" w:eastAsia="Times New Roman" w:hAnsi="Times New Roman" w:cs="Times New Roman"/>
          <w:color w:val="333333"/>
          <w:sz w:val="24"/>
          <w:szCs w:val="24"/>
        </w:rPr>
      </w:pPr>
      <w:r w:rsidRPr="0001532F">
        <w:rPr>
          <w:rFonts w:ascii="Times New Roman" w:eastAsia="Times New Roman" w:hAnsi="Times New Roman" w:cs="Times New Roman"/>
          <w:color w:val="333333"/>
          <w:sz w:val="24"/>
          <w:szCs w:val="24"/>
        </w:rPr>
        <w:t xml:space="preserve">ECB Succeeds in Conducting Meaningful Test </w:t>
      </w:r>
      <w:proofErr w:type="gramStart"/>
      <w:r w:rsidRPr="0001532F">
        <w:rPr>
          <w:rFonts w:ascii="Times New Roman" w:eastAsia="Times New Roman" w:hAnsi="Times New Roman" w:cs="Times New Roman"/>
          <w:color w:val="333333"/>
          <w:sz w:val="24"/>
          <w:szCs w:val="24"/>
        </w:rPr>
        <w:t>Without</w:t>
      </w:r>
      <w:proofErr w:type="gramEnd"/>
      <w:r w:rsidRPr="0001532F">
        <w:rPr>
          <w:rFonts w:ascii="Times New Roman" w:eastAsia="Times New Roman" w:hAnsi="Times New Roman" w:cs="Times New Roman"/>
          <w:color w:val="333333"/>
          <w:sz w:val="24"/>
          <w:szCs w:val="24"/>
        </w:rPr>
        <w:t xml:space="preserve"> Sparking Panic</w:t>
      </w:r>
    </w:p>
    <w:p w:rsidR="0001532F" w:rsidRPr="0001532F" w:rsidRDefault="0001532F" w:rsidP="0001532F">
      <w:pPr>
        <w:shd w:val="clear" w:color="auto" w:fill="FFFFFF"/>
        <w:spacing w:after="0" w:line="300" w:lineRule="atLeast"/>
        <w:rPr>
          <w:rFonts w:ascii="Times New Roman" w:eastAsia="Times New Roman" w:hAnsi="Times New Roman" w:cs="Times New Roman"/>
          <w:color w:val="666666"/>
          <w:sz w:val="24"/>
          <w:szCs w:val="24"/>
        </w:rPr>
      </w:pPr>
      <w:r w:rsidRPr="0001532F">
        <w:rPr>
          <w:rFonts w:ascii="Times New Roman" w:eastAsia="Times New Roman" w:hAnsi="Times New Roman" w:cs="Times New Roman"/>
          <w:color w:val="666666"/>
          <w:sz w:val="24"/>
          <w:szCs w:val="24"/>
        </w:rPr>
        <w:t xml:space="preserve">The European Central Bank managed to give </w:t>
      </w:r>
      <w:proofErr w:type="spellStart"/>
      <w:r w:rsidRPr="0001532F">
        <w:rPr>
          <w:rFonts w:ascii="Times New Roman" w:eastAsia="Times New Roman" w:hAnsi="Times New Roman" w:cs="Times New Roman"/>
          <w:color w:val="666666"/>
          <w:sz w:val="24"/>
          <w:szCs w:val="24"/>
        </w:rPr>
        <w:t>eurozone</w:t>
      </w:r>
      <w:proofErr w:type="spellEnd"/>
      <w:r w:rsidRPr="0001532F">
        <w:rPr>
          <w:rFonts w:ascii="Times New Roman" w:eastAsia="Times New Roman" w:hAnsi="Times New Roman" w:cs="Times New Roman"/>
          <w:color w:val="666666"/>
          <w:sz w:val="24"/>
          <w:szCs w:val="24"/>
        </w:rPr>
        <w:t xml:space="preserve"> banks meaningful stress tests without raising fresh doubts about the financial sector. </w:t>
      </w:r>
      <w:r w:rsidRPr="0001532F">
        <w:rPr>
          <w:rFonts w:ascii="Times New Roman" w:eastAsia="Times New Roman" w:hAnsi="Times New Roman" w:cs="Times New Roman"/>
          <w:i/>
          <w:iCs/>
          <w:caps/>
          <w:color w:val="666666"/>
          <w:sz w:val="24"/>
          <w:szCs w:val="24"/>
        </w:rPr>
        <w:t xml:space="preserve">Bloomberg News </w:t>
      </w:r>
      <w:bookmarkStart w:id="0" w:name="_GoBack"/>
      <w:bookmarkEnd w:id="0"/>
    </w:p>
    <w:p w:rsidR="0001532F" w:rsidRPr="0001532F" w:rsidRDefault="0001532F" w:rsidP="0001532F">
      <w:pPr>
        <w:shd w:val="clear" w:color="auto" w:fill="FFFFFF"/>
        <w:spacing w:after="0" w:line="240" w:lineRule="auto"/>
        <w:rPr>
          <w:rFonts w:ascii="Times New Roman" w:eastAsia="Times New Roman" w:hAnsi="Times New Roman" w:cs="Times New Roman"/>
          <w:color w:val="333333"/>
          <w:sz w:val="24"/>
          <w:szCs w:val="24"/>
        </w:rPr>
      </w:pPr>
      <w:r w:rsidRPr="0001532F">
        <w:rPr>
          <w:rFonts w:ascii="Times New Roman" w:eastAsia="Times New Roman" w:hAnsi="Times New Roman" w:cs="Times New Roman"/>
          <w:color w:val="333333"/>
          <w:sz w:val="24"/>
          <w:szCs w:val="24"/>
        </w:rPr>
        <w:t xml:space="preserve">By David Reilly </w:t>
      </w:r>
      <w:proofErr w:type="gramStart"/>
      <w:r w:rsidRPr="0001532F">
        <w:rPr>
          <w:rFonts w:ascii="Times New Roman" w:eastAsia="Times New Roman" w:hAnsi="Times New Roman" w:cs="Times New Roman"/>
          <w:color w:val="333333"/>
          <w:sz w:val="24"/>
          <w:szCs w:val="24"/>
        </w:rPr>
        <w:t>And</w:t>
      </w:r>
      <w:proofErr w:type="gramEnd"/>
      <w:r w:rsidRPr="0001532F">
        <w:rPr>
          <w:rFonts w:ascii="Times New Roman" w:eastAsia="Times New Roman" w:hAnsi="Times New Roman" w:cs="Times New Roman"/>
          <w:color w:val="333333"/>
          <w:sz w:val="24"/>
          <w:szCs w:val="24"/>
        </w:rPr>
        <w:t xml:space="preserve"> Helen Thomas, WSJ.com, Updated Oct. 26, 2014 6:53 p.m. ET </w:t>
      </w:r>
    </w:p>
    <w:p w:rsidR="0001532F" w:rsidRPr="0001532F" w:rsidRDefault="0001532F" w:rsidP="0001532F">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01532F">
        <w:rPr>
          <w:rFonts w:ascii="Times New Roman" w:eastAsia="Times New Roman" w:hAnsi="Times New Roman" w:cs="Times New Roman"/>
          <w:color w:val="333333"/>
          <w:sz w:val="24"/>
          <w:szCs w:val="24"/>
        </w:rPr>
        <w:t>A Goldilocks result: That is what the European Central Bank’s bank stress tests seem to have produced.</w:t>
      </w:r>
    </w:p>
    <w:p w:rsidR="0001532F" w:rsidRPr="0001532F" w:rsidRDefault="0001532F" w:rsidP="0001532F">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01532F">
        <w:rPr>
          <w:rFonts w:ascii="Times New Roman" w:eastAsia="Times New Roman" w:hAnsi="Times New Roman" w:cs="Times New Roman"/>
          <w:color w:val="333333"/>
          <w:sz w:val="24"/>
          <w:szCs w:val="24"/>
        </w:rPr>
        <w:t>The trick for the ECB was to make the tests difficult enough that markets see them, and by extension bank-balance sheets, as credible, without producing so dire a result that it raises fresh doubts about the financial sector.</w:t>
      </w:r>
    </w:p>
    <w:p w:rsidR="0001532F" w:rsidRPr="0001532F" w:rsidRDefault="0001532F" w:rsidP="0001532F">
      <w:pPr>
        <w:shd w:val="clear" w:color="auto" w:fill="FFFFFF"/>
        <w:spacing w:beforeAutospacing="1" w:after="0" w:afterAutospacing="1" w:line="240" w:lineRule="auto"/>
        <w:rPr>
          <w:rFonts w:ascii="Times New Roman" w:eastAsia="Times New Roman" w:hAnsi="Times New Roman" w:cs="Times New Roman"/>
          <w:color w:val="333333"/>
          <w:sz w:val="24"/>
          <w:szCs w:val="24"/>
        </w:rPr>
      </w:pPr>
      <w:r w:rsidRPr="0001532F">
        <w:rPr>
          <w:rFonts w:ascii="Times New Roman" w:eastAsia="Times New Roman" w:hAnsi="Times New Roman" w:cs="Times New Roman"/>
          <w:b/>
          <w:color w:val="333333"/>
          <w:sz w:val="24"/>
          <w:szCs w:val="24"/>
        </w:rPr>
        <w:t>In that vein, the tests—</w:t>
      </w:r>
      <w:hyperlink r:id="rId6" w:tgtFrame="_new" w:history="1">
        <w:r w:rsidRPr="0001532F">
          <w:rPr>
            <w:rFonts w:ascii="Times New Roman" w:eastAsia="Times New Roman" w:hAnsi="Times New Roman" w:cs="Times New Roman"/>
            <w:b/>
            <w:color w:val="0000FF"/>
            <w:sz w:val="24"/>
            <w:szCs w:val="24"/>
          </w:rPr>
          <w:t>with 25 banks failing and 13 needing to raise an additional €10 billion ($12.65 billion) in capital</w:t>
        </w:r>
      </w:hyperlink>
      <w:r w:rsidRPr="0001532F">
        <w:rPr>
          <w:rFonts w:ascii="Times New Roman" w:eastAsia="Times New Roman" w:hAnsi="Times New Roman" w:cs="Times New Roman"/>
          <w:b/>
          <w:color w:val="333333"/>
          <w:sz w:val="24"/>
          <w:szCs w:val="24"/>
        </w:rPr>
        <w:t xml:space="preserve">—were in line with expectations, or slightly more severe than forecast. </w:t>
      </w:r>
      <w:r w:rsidRPr="0001532F">
        <w:rPr>
          <w:rFonts w:ascii="Times New Roman" w:eastAsia="Times New Roman" w:hAnsi="Times New Roman" w:cs="Times New Roman"/>
          <w:color w:val="333333"/>
          <w:sz w:val="24"/>
          <w:szCs w:val="24"/>
        </w:rPr>
        <w:t>And the result, released Sunday, was buoyed by the fact banks felt compelled to take action in advance, strengthening balance sheets by about €200 billion, including raising about €50 billion in equity in 2014.</w:t>
      </w:r>
    </w:p>
    <w:p w:rsidR="0001532F" w:rsidRPr="0001532F" w:rsidRDefault="0001532F" w:rsidP="0001532F">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01532F">
        <w:rPr>
          <w:rFonts w:ascii="Times New Roman" w:eastAsia="Times New Roman" w:hAnsi="Times New Roman" w:cs="Times New Roman"/>
          <w:color w:val="333333"/>
          <w:sz w:val="24"/>
          <w:szCs w:val="24"/>
        </w:rPr>
        <w:t xml:space="preserve">Of course, the tests and </w:t>
      </w:r>
      <w:r w:rsidRPr="0001532F">
        <w:rPr>
          <w:rFonts w:ascii="Times New Roman" w:eastAsia="Times New Roman" w:hAnsi="Times New Roman" w:cs="Times New Roman"/>
          <w:b/>
          <w:color w:val="333333"/>
          <w:sz w:val="24"/>
          <w:szCs w:val="24"/>
        </w:rPr>
        <w:t>accompanying asset-quality review</w:t>
      </w:r>
      <w:r w:rsidRPr="0001532F">
        <w:rPr>
          <w:rFonts w:ascii="Times New Roman" w:eastAsia="Times New Roman" w:hAnsi="Times New Roman" w:cs="Times New Roman"/>
          <w:color w:val="333333"/>
          <w:sz w:val="24"/>
          <w:szCs w:val="24"/>
        </w:rPr>
        <w:t xml:space="preserve"> don’t sound the all-clear siren. Previous tests of European banks by other agencies were found lacking when firms quickly ran into trouble after passing. And the level of stress such tests include will always be open to debate. The latest, for example, didn’t include a scenario in which the </w:t>
      </w:r>
      <w:proofErr w:type="spellStart"/>
      <w:r w:rsidRPr="0001532F">
        <w:rPr>
          <w:rFonts w:ascii="Times New Roman" w:eastAsia="Times New Roman" w:hAnsi="Times New Roman" w:cs="Times New Roman"/>
          <w:color w:val="333333"/>
          <w:sz w:val="24"/>
          <w:szCs w:val="24"/>
        </w:rPr>
        <w:t>eurozone</w:t>
      </w:r>
      <w:proofErr w:type="spellEnd"/>
      <w:r w:rsidRPr="0001532F">
        <w:rPr>
          <w:rFonts w:ascii="Times New Roman" w:eastAsia="Times New Roman" w:hAnsi="Times New Roman" w:cs="Times New Roman"/>
          <w:color w:val="333333"/>
          <w:sz w:val="24"/>
          <w:szCs w:val="24"/>
        </w:rPr>
        <w:t xml:space="preserve"> experiences deflation, nor did they include possible big litigation losses.</w:t>
      </w:r>
    </w:p>
    <w:p w:rsidR="0001532F" w:rsidRPr="0001532F" w:rsidRDefault="0001532F" w:rsidP="0001532F">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01532F">
        <w:rPr>
          <w:rFonts w:ascii="Times New Roman" w:eastAsia="Times New Roman" w:hAnsi="Times New Roman" w:cs="Times New Roman"/>
          <w:color w:val="333333"/>
          <w:sz w:val="24"/>
          <w:szCs w:val="24"/>
        </w:rPr>
        <w:t xml:space="preserve">That so </w:t>
      </w:r>
      <w:r w:rsidRPr="0001532F">
        <w:rPr>
          <w:rFonts w:ascii="Times New Roman" w:eastAsia="Times New Roman" w:hAnsi="Times New Roman" w:cs="Times New Roman"/>
          <w:b/>
          <w:color w:val="333333"/>
          <w:sz w:val="24"/>
          <w:szCs w:val="24"/>
        </w:rPr>
        <w:t>many European banks continue to trade below book value</w:t>
      </w:r>
      <w:r w:rsidRPr="0001532F">
        <w:rPr>
          <w:rFonts w:ascii="Times New Roman" w:eastAsia="Times New Roman" w:hAnsi="Times New Roman" w:cs="Times New Roman"/>
          <w:color w:val="333333"/>
          <w:sz w:val="24"/>
          <w:szCs w:val="24"/>
        </w:rPr>
        <w:t xml:space="preserve"> also shows the level of mistrust that exists. Erasing that will take more than one set of tests, even if they are seen as credible, and will depend, too, on the </w:t>
      </w:r>
      <w:proofErr w:type="spellStart"/>
      <w:r w:rsidRPr="0001532F">
        <w:rPr>
          <w:rFonts w:ascii="Times New Roman" w:eastAsia="Times New Roman" w:hAnsi="Times New Roman" w:cs="Times New Roman"/>
          <w:color w:val="333333"/>
          <w:sz w:val="24"/>
          <w:szCs w:val="24"/>
        </w:rPr>
        <w:t>eurozone</w:t>
      </w:r>
      <w:proofErr w:type="spellEnd"/>
      <w:r w:rsidRPr="0001532F">
        <w:rPr>
          <w:rFonts w:ascii="Times New Roman" w:eastAsia="Times New Roman" w:hAnsi="Times New Roman" w:cs="Times New Roman"/>
          <w:color w:val="333333"/>
          <w:sz w:val="24"/>
          <w:szCs w:val="24"/>
        </w:rPr>
        <w:t xml:space="preserve"> economy reviving.</w:t>
      </w:r>
    </w:p>
    <w:p w:rsidR="0001532F" w:rsidRPr="0001532F" w:rsidRDefault="0001532F" w:rsidP="0001532F">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01532F">
        <w:rPr>
          <w:rFonts w:ascii="Times New Roman" w:eastAsia="Times New Roman" w:hAnsi="Times New Roman" w:cs="Times New Roman"/>
          <w:color w:val="333333"/>
          <w:sz w:val="24"/>
          <w:szCs w:val="24"/>
        </w:rPr>
        <w:t>In that vein, the tests shouldn’t be seen as something that will ignite broader economic growth through a sudden renewal of lending. Rather, they should hopefully put banks in better position to expand credit if demand picks up.</w:t>
      </w:r>
    </w:p>
    <w:p w:rsidR="0001532F" w:rsidRPr="0001532F" w:rsidRDefault="0001532F" w:rsidP="0001532F">
      <w:pPr>
        <w:shd w:val="clear" w:color="auto" w:fill="FFFFFF"/>
        <w:spacing w:before="100" w:beforeAutospacing="1" w:after="100" w:afterAutospacing="1" w:line="240" w:lineRule="auto"/>
        <w:rPr>
          <w:rFonts w:ascii="Times New Roman" w:eastAsia="Times New Roman" w:hAnsi="Times New Roman" w:cs="Times New Roman"/>
          <w:b/>
          <w:color w:val="333333"/>
          <w:sz w:val="24"/>
          <w:szCs w:val="24"/>
        </w:rPr>
      </w:pPr>
      <w:r w:rsidRPr="0001532F">
        <w:rPr>
          <w:rFonts w:ascii="Times New Roman" w:eastAsia="Times New Roman" w:hAnsi="Times New Roman" w:cs="Times New Roman"/>
          <w:color w:val="333333"/>
          <w:sz w:val="24"/>
          <w:szCs w:val="24"/>
        </w:rPr>
        <w:t xml:space="preserve">The tests, to some extent, confirmed investors’ long-held suspicions: </w:t>
      </w:r>
      <w:r w:rsidRPr="0001532F">
        <w:rPr>
          <w:rFonts w:ascii="Times New Roman" w:eastAsia="Times New Roman" w:hAnsi="Times New Roman" w:cs="Times New Roman"/>
          <w:b/>
          <w:color w:val="333333"/>
          <w:sz w:val="24"/>
          <w:szCs w:val="24"/>
        </w:rPr>
        <w:t xml:space="preserve">Failures were concentrated in crisis-hit </w:t>
      </w:r>
      <w:proofErr w:type="spellStart"/>
      <w:r w:rsidRPr="0001532F">
        <w:rPr>
          <w:rFonts w:ascii="Times New Roman" w:eastAsia="Times New Roman" w:hAnsi="Times New Roman" w:cs="Times New Roman"/>
          <w:b/>
          <w:color w:val="333333"/>
          <w:sz w:val="24"/>
          <w:szCs w:val="24"/>
        </w:rPr>
        <w:t>eurozone</w:t>
      </w:r>
      <w:proofErr w:type="spellEnd"/>
      <w:r w:rsidRPr="0001532F">
        <w:rPr>
          <w:rFonts w:ascii="Times New Roman" w:eastAsia="Times New Roman" w:hAnsi="Times New Roman" w:cs="Times New Roman"/>
          <w:b/>
          <w:color w:val="333333"/>
          <w:sz w:val="24"/>
          <w:szCs w:val="24"/>
        </w:rPr>
        <w:t xml:space="preserve"> markets like Cyprus, Greece and Italy.</w:t>
      </w:r>
    </w:p>
    <w:p w:rsidR="0001532F" w:rsidRPr="0001532F" w:rsidRDefault="0001532F" w:rsidP="0001532F">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01532F">
        <w:rPr>
          <w:rFonts w:ascii="Times New Roman" w:eastAsia="Times New Roman" w:hAnsi="Times New Roman" w:cs="Times New Roman"/>
          <w:color w:val="333333"/>
          <w:sz w:val="24"/>
          <w:szCs w:val="24"/>
        </w:rPr>
        <w:t>The results were, however, a blow for the latter: Nine Italian banks failed the tests. Four of those banks must raise further capital on top of previous efforts. That several Italian lenders fared poorly under regulators’ basic stress scenario, not just the adverse one, raises more questions about the past rigor of Italian banking regulation and suggests serious restructuring is still required to restore the country’s fragmented banking system to health.</w:t>
      </w:r>
    </w:p>
    <w:p w:rsidR="0001532F" w:rsidRPr="0001532F" w:rsidRDefault="0001532F" w:rsidP="0001532F">
      <w:pPr>
        <w:shd w:val="clear" w:color="auto" w:fill="FFFFFF"/>
        <w:spacing w:beforeAutospacing="1" w:after="0" w:afterAutospacing="1" w:line="240" w:lineRule="auto"/>
        <w:rPr>
          <w:rFonts w:ascii="Times New Roman" w:eastAsia="Times New Roman" w:hAnsi="Times New Roman" w:cs="Times New Roman"/>
          <w:color w:val="333333"/>
          <w:sz w:val="24"/>
          <w:szCs w:val="24"/>
        </w:rPr>
      </w:pPr>
      <w:r w:rsidRPr="0001532F">
        <w:rPr>
          <w:rFonts w:ascii="Times New Roman" w:eastAsia="Times New Roman" w:hAnsi="Times New Roman" w:cs="Times New Roman"/>
          <w:color w:val="333333"/>
          <w:sz w:val="24"/>
          <w:szCs w:val="24"/>
        </w:rPr>
        <w:t xml:space="preserve">Among banks that failed and face the biggest capital shortfalls were </w:t>
      </w:r>
      <w:hyperlink r:id="rId7" w:history="1">
        <w:r w:rsidRPr="0001532F">
          <w:rPr>
            <w:rFonts w:ascii="Times New Roman" w:eastAsia="Times New Roman" w:hAnsi="Times New Roman" w:cs="Times New Roman"/>
            <w:color w:val="0000FF"/>
            <w:sz w:val="24"/>
            <w:szCs w:val="24"/>
          </w:rPr>
          <w:t xml:space="preserve">Monte </w:t>
        </w:r>
        <w:proofErr w:type="spellStart"/>
        <w:r w:rsidRPr="0001532F">
          <w:rPr>
            <w:rFonts w:ascii="Times New Roman" w:eastAsia="Times New Roman" w:hAnsi="Times New Roman" w:cs="Times New Roman"/>
            <w:color w:val="0000FF"/>
            <w:sz w:val="24"/>
            <w:szCs w:val="24"/>
          </w:rPr>
          <w:t>dei</w:t>
        </w:r>
        <w:proofErr w:type="spellEnd"/>
        <w:r w:rsidRPr="0001532F">
          <w:rPr>
            <w:rFonts w:ascii="Times New Roman" w:eastAsia="Times New Roman" w:hAnsi="Times New Roman" w:cs="Times New Roman"/>
            <w:color w:val="0000FF"/>
            <w:sz w:val="24"/>
            <w:szCs w:val="24"/>
          </w:rPr>
          <w:t xml:space="preserve"> </w:t>
        </w:r>
        <w:proofErr w:type="spellStart"/>
        <w:r w:rsidRPr="0001532F">
          <w:rPr>
            <w:rFonts w:ascii="Times New Roman" w:eastAsia="Times New Roman" w:hAnsi="Times New Roman" w:cs="Times New Roman"/>
            <w:color w:val="0000FF"/>
            <w:sz w:val="24"/>
            <w:szCs w:val="24"/>
          </w:rPr>
          <w:t>Paschi</w:t>
        </w:r>
        <w:proofErr w:type="spellEnd"/>
        <w:r w:rsidRPr="0001532F">
          <w:rPr>
            <w:rFonts w:ascii="Times New Roman" w:eastAsia="Times New Roman" w:hAnsi="Times New Roman" w:cs="Times New Roman"/>
            <w:color w:val="0000FF"/>
            <w:sz w:val="24"/>
            <w:szCs w:val="24"/>
          </w:rPr>
          <w:t xml:space="preserve"> di Siena </w:t>
        </w:r>
      </w:hyperlink>
      <w:r w:rsidRPr="0001532F">
        <w:rPr>
          <w:rFonts w:ascii="Times New Roman" w:eastAsia="Times New Roman" w:hAnsi="Times New Roman" w:cs="Times New Roman"/>
          <w:color w:val="333333"/>
          <w:sz w:val="24"/>
          <w:szCs w:val="24"/>
        </w:rPr>
        <w:t xml:space="preserve">of Italy and Banco </w:t>
      </w:r>
      <w:proofErr w:type="spellStart"/>
      <w:r w:rsidRPr="0001532F">
        <w:rPr>
          <w:rFonts w:ascii="Times New Roman" w:eastAsia="Times New Roman" w:hAnsi="Times New Roman" w:cs="Times New Roman"/>
          <w:color w:val="333333"/>
          <w:sz w:val="24"/>
          <w:szCs w:val="24"/>
        </w:rPr>
        <w:t>Comercial</w:t>
      </w:r>
      <w:proofErr w:type="spellEnd"/>
      <w:r w:rsidRPr="0001532F">
        <w:rPr>
          <w:rFonts w:ascii="Times New Roman" w:eastAsia="Times New Roman" w:hAnsi="Times New Roman" w:cs="Times New Roman"/>
          <w:color w:val="333333"/>
          <w:sz w:val="24"/>
          <w:szCs w:val="24"/>
        </w:rPr>
        <w:t xml:space="preserve"> </w:t>
      </w:r>
      <w:proofErr w:type="spellStart"/>
      <w:r w:rsidRPr="0001532F">
        <w:rPr>
          <w:rFonts w:ascii="Times New Roman" w:eastAsia="Times New Roman" w:hAnsi="Times New Roman" w:cs="Times New Roman"/>
          <w:color w:val="333333"/>
          <w:sz w:val="24"/>
          <w:szCs w:val="24"/>
        </w:rPr>
        <w:t>Português</w:t>
      </w:r>
      <w:proofErr w:type="spellEnd"/>
      <w:r w:rsidRPr="0001532F">
        <w:rPr>
          <w:rFonts w:ascii="Times New Roman" w:eastAsia="Times New Roman" w:hAnsi="Times New Roman" w:cs="Times New Roman"/>
          <w:color w:val="333333"/>
          <w:sz w:val="24"/>
          <w:szCs w:val="24"/>
        </w:rPr>
        <w:t xml:space="preserve"> of Portugal.</w:t>
      </w:r>
    </w:p>
    <w:p w:rsidR="0001532F" w:rsidRPr="0001532F" w:rsidRDefault="0001532F" w:rsidP="0001532F">
      <w:pPr>
        <w:shd w:val="clear" w:color="auto" w:fill="FFFFFF"/>
        <w:spacing w:before="100" w:beforeAutospacing="1" w:after="100" w:afterAutospacing="1" w:line="240" w:lineRule="auto"/>
        <w:rPr>
          <w:rFonts w:ascii="Times New Roman" w:eastAsia="Times New Roman" w:hAnsi="Times New Roman" w:cs="Times New Roman"/>
          <w:b/>
          <w:color w:val="333333"/>
          <w:sz w:val="24"/>
          <w:szCs w:val="24"/>
        </w:rPr>
      </w:pPr>
      <w:r w:rsidRPr="0001532F">
        <w:rPr>
          <w:rFonts w:ascii="Times New Roman" w:eastAsia="Times New Roman" w:hAnsi="Times New Roman" w:cs="Times New Roman"/>
          <w:color w:val="333333"/>
          <w:sz w:val="24"/>
          <w:szCs w:val="24"/>
        </w:rPr>
        <w:lastRenderedPageBreak/>
        <w:t xml:space="preserve">Looking at failed banks is also only part of the picture. Alberto Gallo at RBS points out </w:t>
      </w:r>
      <w:proofErr w:type="gramStart"/>
      <w:r w:rsidRPr="0001532F">
        <w:rPr>
          <w:rFonts w:ascii="Times New Roman" w:eastAsia="Times New Roman" w:hAnsi="Times New Roman" w:cs="Times New Roman"/>
          <w:color w:val="333333"/>
          <w:sz w:val="24"/>
          <w:szCs w:val="24"/>
        </w:rPr>
        <w:t>that</w:t>
      </w:r>
      <w:proofErr w:type="gramEnd"/>
      <w:r w:rsidRPr="0001532F">
        <w:rPr>
          <w:rFonts w:ascii="Times New Roman" w:eastAsia="Times New Roman" w:hAnsi="Times New Roman" w:cs="Times New Roman"/>
          <w:color w:val="333333"/>
          <w:sz w:val="24"/>
          <w:szCs w:val="24"/>
        </w:rPr>
        <w:t xml:space="preserve"> </w:t>
      </w:r>
      <w:r w:rsidRPr="0001532F">
        <w:rPr>
          <w:rFonts w:ascii="Times New Roman" w:eastAsia="Times New Roman" w:hAnsi="Times New Roman" w:cs="Times New Roman"/>
          <w:b/>
          <w:color w:val="333333"/>
          <w:sz w:val="24"/>
          <w:szCs w:val="24"/>
        </w:rPr>
        <w:t xml:space="preserve">30 banks only narrowly passed the stress tests, with capital ratios above the required 5.5% under the adverse scenario but still shy of 8%. </w:t>
      </w:r>
    </w:p>
    <w:p w:rsidR="0001532F" w:rsidRPr="0001532F" w:rsidRDefault="0001532F" w:rsidP="0001532F">
      <w:pPr>
        <w:shd w:val="clear" w:color="auto" w:fill="FFFFFF"/>
        <w:spacing w:beforeAutospacing="1" w:after="0" w:afterAutospacing="1" w:line="240" w:lineRule="auto"/>
        <w:rPr>
          <w:rFonts w:ascii="Times New Roman" w:eastAsia="Times New Roman" w:hAnsi="Times New Roman" w:cs="Times New Roman"/>
          <w:color w:val="333333"/>
          <w:sz w:val="24"/>
          <w:szCs w:val="24"/>
        </w:rPr>
      </w:pPr>
      <w:r w:rsidRPr="0001532F">
        <w:rPr>
          <w:rFonts w:ascii="Times New Roman" w:eastAsia="Times New Roman" w:hAnsi="Times New Roman" w:cs="Times New Roman"/>
          <w:color w:val="333333"/>
          <w:sz w:val="24"/>
          <w:szCs w:val="24"/>
        </w:rPr>
        <w:t xml:space="preserve">They included several German lenders and larger institutions such as </w:t>
      </w:r>
      <w:hyperlink r:id="rId8" w:history="1">
        <w:proofErr w:type="spellStart"/>
        <w:r w:rsidRPr="0001532F">
          <w:rPr>
            <w:rFonts w:ascii="Times New Roman" w:eastAsia="Times New Roman" w:hAnsi="Times New Roman" w:cs="Times New Roman"/>
            <w:color w:val="0000FF"/>
            <w:sz w:val="24"/>
            <w:szCs w:val="24"/>
          </w:rPr>
          <w:t>UniCredit</w:t>
        </w:r>
        <w:proofErr w:type="spellEnd"/>
        <w:r w:rsidRPr="0001532F">
          <w:rPr>
            <w:rFonts w:ascii="Times New Roman" w:eastAsia="Times New Roman" w:hAnsi="Times New Roman" w:cs="Times New Roman"/>
            <w:color w:val="0000FF"/>
            <w:sz w:val="24"/>
            <w:szCs w:val="24"/>
          </w:rPr>
          <w:t xml:space="preserve"> </w:t>
        </w:r>
      </w:hyperlink>
      <w:r w:rsidRPr="0001532F">
        <w:rPr>
          <w:rFonts w:ascii="Times New Roman" w:eastAsia="Times New Roman" w:hAnsi="Times New Roman" w:cs="Times New Roman"/>
          <w:color w:val="333333"/>
          <w:sz w:val="24"/>
          <w:szCs w:val="24"/>
        </w:rPr>
        <w:t xml:space="preserve">and </w:t>
      </w:r>
      <w:hyperlink r:id="rId9" w:history="1">
        <w:proofErr w:type="spellStart"/>
        <w:r w:rsidRPr="0001532F">
          <w:rPr>
            <w:rFonts w:ascii="Times New Roman" w:eastAsia="Times New Roman" w:hAnsi="Times New Roman" w:cs="Times New Roman"/>
            <w:color w:val="0000FF"/>
            <w:sz w:val="24"/>
            <w:szCs w:val="24"/>
          </w:rPr>
          <w:t>Mediobanca</w:t>
        </w:r>
        <w:proofErr w:type="spellEnd"/>
        <w:r w:rsidRPr="0001532F">
          <w:rPr>
            <w:rFonts w:ascii="Times New Roman" w:eastAsia="Times New Roman" w:hAnsi="Times New Roman" w:cs="Times New Roman"/>
            <w:color w:val="0000FF"/>
            <w:sz w:val="24"/>
            <w:szCs w:val="24"/>
          </w:rPr>
          <w:t xml:space="preserve"> </w:t>
        </w:r>
      </w:hyperlink>
      <w:r w:rsidRPr="0001532F">
        <w:rPr>
          <w:rFonts w:ascii="Times New Roman" w:eastAsia="Times New Roman" w:hAnsi="Times New Roman" w:cs="Times New Roman"/>
          <w:color w:val="333333"/>
          <w:sz w:val="24"/>
          <w:szCs w:val="24"/>
        </w:rPr>
        <w:t>in Italy.</w:t>
      </w:r>
    </w:p>
    <w:p w:rsidR="0001532F" w:rsidRPr="0001532F" w:rsidRDefault="0001532F" w:rsidP="0001532F">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01532F">
        <w:rPr>
          <w:rFonts w:ascii="Times New Roman" w:eastAsia="Times New Roman" w:hAnsi="Times New Roman" w:cs="Times New Roman"/>
          <w:color w:val="333333"/>
          <w:sz w:val="24"/>
          <w:szCs w:val="24"/>
        </w:rPr>
        <w:t xml:space="preserve">Another potential sore point: The </w:t>
      </w:r>
      <w:r w:rsidRPr="0001532F">
        <w:rPr>
          <w:rFonts w:ascii="Times New Roman" w:eastAsia="Times New Roman" w:hAnsi="Times New Roman" w:cs="Times New Roman"/>
          <w:b/>
          <w:color w:val="333333"/>
          <w:sz w:val="24"/>
          <w:szCs w:val="24"/>
        </w:rPr>
        <w:t>tests didn’t include use of a leverage-ratio constraint</w:t>
      </w:r>
      <w:r w:rsidRPr="0001532F">
        <w:rPr>
          <w:rFonts w:ascii="Times New Roman" w:eastAsia="Times New Roman" w:hAnsi="Times New Roman" w:cs="Times New Roman"/>
          <w:color w:val="333333"/>
          <w:sz w:val="24"/>
          <w:szCs w:val="24"/>
        </w:rPr>
        <w:t>, a broader-brush measure of balance-sheet strength the U.S. Federal Reserve now includes in its tests.</w:t>
      </w:r>
    </w:p>
    <w:p w:rsidR="0001532F" w:rsidRPr="0001532F" w:rsidRDefault="0001532F" w:rsidP="0001532F">
      <w:pPr>
        <w:shd w:val="clear" w:color="auto" w:fill="FFFFFF"/>
        <w:spacing w:before="100" w:beforeAutospacing="1" w:after="100" w:afterAutospacing="1" w:line="240" w:lineRule="auto"/>
        <w:rPr>
          <w:rFonts w:ascii="Times New Roman" w:eastAsia="Times New Roman" w:hAnsi="Times New Roman" w:cs="Times New Roman"/>
          <w:b/>
          <w:color w:val="333333"/>
          <w:sz w:val="24"/>
          <w:szCs w:val="24"/>
        </w:rPr>
      </w:pPr>
      <w:r w:rsidRPr="0001532F">
        <w:rPr>
          <w:rFonts w:ascii="Times New Roman" w:eastAsia="Times New Roman" w:hAnsi="Times New Roman" w:cs="Times New Roman"/>
          <w:color w:val="333333"/>
          <w:sz w:val="24"/>
          <w:szCs w:val="24"/>
        </w:rPr>
        <w:t xml:space="preserve">On that basis, there was some more reason for concern. In a note to its report, the </w:t>
      </w:r>
      <w:r w:rsidRPr="0001532F">
        <w:rPr>
          <w:rFonts w:ascii="Times New Roman" w:eastAsia="Times New Roman" w:hAnsi="Times New Roman" w:cs="Times New Roman"/>
          <w:b/>
          <w:color w:val="333333"/>
          <w:sz w:val="24"/>
          <w:szCs w:val="24"/>
        </w:rPr>
        <w:t>ECB said 17 banks would have been below a minimum 3% leverage ratio. Based on the 4% threshold used by the Fed for big U.S. banks, 36 European firms would have fallen short, although differing accounting approaches can skew the result.</w:t>
      </w:r>
    </w:p>
    <w:p w:rsidR="0001532F" w:rsidRPr="0001532F" w:rsidRDefault="0001532F" w:rsidP="0001532F">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01532F">
        <w:rPr>
          <w:rFonts w:ascii="Times New Roman" w:eastAsia="Times New Roman" w:hAnsi="Times New Roman" w:cs="Times New Roman"/>
          <w:color w:val="333333"/>
          <w:sz w:val="24"/>
          <w:szCs w:val="24"/>
        </w:rPr>
        <w:t xml:space="preserve">Still, the tests and the asset-quality review are </w:t>
      </w:r>
      <w:r w:rsidRPr="0001532F">
        <w:rPr>
          <w:rFonts w:ascii="Times New Roman" w:eastAsia="Times New Roman" w:hAnsi="Times New Roman" w:cs="Times New Roman"/>
          <w:b/>
          <w:color w:val="333333"/>
          <w:sz w:val="24"/>
          <w:szCs w:val="24"/>
          <w:u w:val="single"/>
        </w:rPr>
        <w:t>a first step toward the ECB instituting a more rigorous supervisory framework as it takes over as Europe’s single bank regulator</w:t>
      </w:r>
      <w:r w:rsidRPr="0001532F">
        <w:rPr>
          <w:rFonts w:ascii="Times New Roman" w:eastAsia="Times New Roman" w:hAnsi="Times New Roman" w:cs="Times New Roman"/>
          <w:color w:val="333333"/>
          <w:sz w:val="24"/>
          <w:szCs w:val="24"/>
        </w:rPr>
        <w:t>. In that sense, they had to be good enough, not perfect.</w:t>
      </w:r>
    </w:p>
    <w:p w:rsidR="0001532F" w:rsidRPr="0001532F" w:rsidRDefault="0001532F" w:rsidP="0001532F">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01532F">
        <w:rPr>
          <w:rFonts w:ascii="Times New Roman" w:eastAsia="Times New Roman" w:hAnsi="Times New Roman" w:cs="Times New Roman"/>
          <w:color w:val="333333"/>
          <w:sz w:val="24"/>
          <w:szCs w:val="24"/>
        </w:rPr>
        <w:t>And, as a starting point, the tests produced positive results. Regulators now have a harmonized definition of what constitutes a nonperforming asset. That, officials said, led to an increase in nonperforming assets of about €136 billion, while the asset review required an increase in provisions of €43 billion, or about 12%. Collateral was also adjusted downward by €39 billion.</w:t>
      </w:r>
    </w:p>
    <w:p w:rsidR="0001532F" w:rsidRPr="0001532F" w:rsidRDefault="0001532F" w:rsidP="0001532F">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01532F">
        <w:rPr>
          <w:rFonts w:ascii="Times New Roman" w:eastAsia="Times New Roman" w:hAnsi="Times New Roman" w:cs="Times New Roman"/>
          <w:color w:val="333333"/>
          <w:sz w:val="24"/>
          <w:szCs w:val="24"/>
        </w:rPr>
        <w:t>On the whole, investors are likely to take a bowl-half-full view of the tests. The bigger problem is that the European economy is still too cold for eating.</w:t>
      </w:r>
    </w:p>
    <w:p w:rsidR="0001532F" w:rsidRPr="0001532F" w:rsidRDefault="0001532F" w:rsidP="0001532F">
      <w:pPr>
        <w:shd w:val="clear" w:color="auto" w:fill="FFFFFF"/>
        <w:spacing w:after="0" w:line="240" w:lineRule="auto"/>
        <w:rPr>
          <w:rFonts w:ascii="Times New Roman" w:eastAsia="Times New Roman" w:hAnsi="Times New Roman" w:cs="Times New Roman"/>
          <w:color w:val="333333"/>
          <w:sz w:val="24"/>
          <w:szCs w:val="24"/>
        </w:rPr>
      </w:pPr>
    </w:p>
    <w:p w:rsidR="0001532F" w:rsidRPr="0001532F" w:rsidRDefault="0001532F" w:rsidP="0001532F">
      <w:pPr>
        <w:shd w:val="clear" w:color="auto" w:fill="FFFFFF"/>
        <w:spacing w:beforeAutospacing="1" w:after="0" w:afterAutospacing="1" w:line="240" w:lineRule="auto"/>
        <w:rPr>
          <w:rFonts w:ascii="Times New Roman" w:eastAsia="Times New Roman" w:hAnsi="Times New Roman" w:cs="Times New Roman"/>
          <w:color w:val="333333"/>
          <w:sz w:val="24"/>
          <w:szCs w:val="24"/>
        </w:rPr>
      </w:pPr>
      <w:r w:rsidRPr="0001532F">
        <w:rPr>
          <w:rFonts w:ascii="Times New Roman" w:eastAsia="Times New Roman" w:hAnsi="Times New Roman" w:cs="Times New Roman"/>
          <w:b/>
          <w:bCs/>
          <w:color w:val="333333"/>
          <w:sz w:val="24"/>
          <w:szCs w:val="24"/>
        </w:rPr>
        <w:t xml:space="preserve">Write to </w:t>
      </w:r>
      <w:r w:rsidRPr="0001532F">
        <w:rPr>
          <w:rFonts w:ascii="Times New Roman" w:eastAsia="Times New Roman" w:hAnsi="Times New Roman" w:cs="Times New Roman"/>
          <w:color w:val="333333"/>
          <w:sz w:val="24"/>
          <w:szCs w:val="24"/>
        </w:rPr>
        <w:t xml:space="preserve">David Reilly at </w:t>
      </w:r>
      <w:hyperlink r:id="rId10" w:tgtFrame="_new" w:history="1">
        <w:r w:rsidRPr="0001532F">
          <w:rPr>
            <w:rFonts w:ascii="Times New Roman" w:eastAsia="Times New Roman" w:hAnsi="Times New Roman" w:cs="Times New Roman"/>
            <w:color w:val="0000FF"/>
            <w:sz w:val="24"/>
            <w:szCs w:val="24"/>
          </w:rPr>
          <w:t>david.reilly@wsj.com</w:t>
        </w:r>
      </w:hyperlink>
      <w:r w:rsidRPr="0001532F">
        <w:rPr>
          <w:rFonts w:ascii="Times New Roman" w:eastAsia="Times New Roman" w:hAnsi="Times New Roman" w:cs="Times New Roman"/>
          <w:color w:val="333333"/>
          <w:sz w:val="24"/>
          <w:szCs w:val="24"/>
        </w:rPr>
        <w:t xml:space="preserve"> and Helen Thomas at </w:t>
      </w:r>
      <w:hyperlink r:id="rId11" w:tgtFrame="_new" w:history="1">
        <w:r w:rsidRPr="0001532F">
          <w:rPr>
            <w:rFonts w:ascii="Times New Roman" w:eastAsia="Times New Roman" w:hAnsi="Times New Roman" w:cs="Times New Roman"/>
            <w:color w:val="0000FF"/>
            <w:sz w:val="24"/>
            <w:szCs w:val="24"/>
          </w:rPr>
          <w:t>helen.thomas@wsj.com</w:t>
        </w:r>
      </w:hyperlink>
      <w:r w:rsidRPr="0001532F">
        <w:rPr>
          <w:rFonts w:ascii="Times New Roman" w:eastAsia="Times New Roman" w:hAnsi="Times New Roman" w:cs="Times New Roman"/>
          <w:color w:val="333333"/>
          <w:sz w:val="24"/>
          <w:szCs w:val="24"/>
        </w:rPr>
        <w:t xml:space="preserve"> </w:t>
      </w:r>
    </w:p>
    <w:p w:rsidR="00B16C72" w:rsidRPr="0001532F" w:rsidRDefault="00B16C72">
      <w:pPr>
        <w:rPr>
          <w:rFonts w:ascii="Times New Roman" w:hAnsi="Times New Roman" w:cs="Times New Roman"/>
          <w:sz w:val="24"/>
          <w:szCs w:val="24"/>
        </w:rPr>
      </w:pPr>
    </w:p>
    <w:sectPr w:rsidR="00B16C72" w:rsidRPr="000153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01F2"/>
    <w:multiLevelType w:val="multilevel"/>
    <w:tmpl w:val="899CA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135DDC"/>
    <w:multiLevelType w:val="multilevel"/>
    <w:tmpl w:val="0FE65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91759E"/>
    <w:multiLevelType w:val="multilevel"/>
    <w:tmpl w:val="F224F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4C2ED0"/>
    <w:multiLevelType w:val="multilevel"/>
    <w:tmpl w:val="2676E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32F"/>
    <w:rsid w:val="0001532F"/>
    <w:rsid w:val="00B16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3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3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830495">
      <w:bodyDiv w:val="1"/>
      <w:marLeft w:val="0"/>
      <w:marRight w:val="0"/>
      <w:marTop w:val="0"/>
      <w:marBottom w:val="0"/>
      <w:divBdr>
        <w:top w:val="none" w:sz="0" w:space="0" w:color="auto"/>
        <w:left w:val="none" w:sz="0" w:space="0" w:color="auto"/>
        <w:bottom w:val="none" w:sz="0" w:space="0" w:color="auto"/>
        <w:right w:val="none" w:sz="0" w:space="0" w:color="auto"/>
      </w:divBdr>
      <w:divsChild>
        <w:div w:id="1258515966">
          <w:marLeft w:val="0"/>
          <w:marRight w:val="0"/>
          <w:marTop w:val="0"/>
          <w:marBottom w:val="0"/>
          <w:divBdr>
            <w:top w:val="none" w:sz="0" w:space="0" w:color="auto"/>
            <w:left w:val="none" w:sz="0" w:space="0" w:color="auto"/>
            <w:bottom w:val="none" w:sz="0" w:space="0" w:color="auto"/>
            <w:right w:val="none" w:sz="0" w:space="0" w:color="auto"/>
          </w:divBdr>
          <w:divsChild>
            <w:div w:id="362487705">
              <w:marLeft w:val="0"/>
              <w:marRight w:val="0"/>
              <w:marTop w:val="0"/>
              <w:marBottom w:val="0"/>
              <w:divBdr>
                <w:top w:val="none" w:sz="0" w:space="0" w:color="auto"/>
                <w:left w:val="none" w:sz="0" w:space="0" w:color="auto"/>
                <w:bottom w:val="none" w:sz="0" w:space="0" w:color="auto"/>
                <w:right w:val="none" w:sz="0" w:space="0" w:color="auto"/>
              </w:divBdr>
              <w:divsChild>
                <w:div w:id="1506090317">
                  <w:marLeft w:val="0"/>
                  <w:marRight w:val="0"/>
                  <w:marTop w:val="0"/>
                  <w:marBottom w:val="0"/>
                  <w:divBdr>
                    <w:top w:val="none" w:sz="0" w:space="0" w:color="auto"/>
                    <w:left w:val="none" w:sz="0" w:space="0" w:color="auto"/>
                    <w:bottom w:val="none" w:sz="0" w:space="0" w:color="auto"/>
                    <w:right w:val="none" w:sz="0" w:space="0" w:color="auto"/>
                  </w:divBdr>
                  <w:divsChild>
                    <w:div w:id="977995109">
                      <w:marLeft w:val="150"/>
                      <w:marRight w:val="150"/>
                      <w:marTop w:val="0"/>
                      <w:marBottom w:val="0"/>
                      <w:divBdr>
                        <w:top w:val="none" w:sz="0" w:space="0" w:color="auto"/>
                        <w:left w:val="none" w:sz="0" w:space="0" w:color="auto"/>
                        <w:bottom w:val="none" w:sz="0" w:space="0" w:color="auto"/>
                        <w:right w:val="none" w:sz="0" w:space="0" w:color="auto"/>
                      </w:divBdr>
                      <w:divsChild>
                        <w:div w:id="404567589">
                          <w:marLeft w:val="0"/>
                          <w:marRight w:val="0"/>
                          <w:marTop w:val="0"/>
                          <w:marBottom w:val="0"/>
                          <w:divBdr>
                            <w:top w:val="none" w:sz="0" w:space="0" w:color="auto"/>
                            <w:left w:val="none" w:sz="0" w:space="0" w:color="auto"/>
                            <w:bottom w:val="none" w:sz="0" w:space="0" w:color="auto"/>
                            <w:right w:val="none" w:sz="0" w:space="0" w:color="auto"/>
                          </w:divBdr>
                          <w:divsChild>
                            <w:div w:id="1712728998">
                              <w:marLeft w:val="0"/>
                              <w:marRight w:val="0"/>
                              <w:marTop w:val="0"/>
                              <w:marBottom w:val="0"/>
                              <w:divBdr>
                                <w:top w:val="none" w:sz="0" w:space="0" w:color="auto"/>
                                <w:left w:val="none" w:sz="0" w:space="0" w:color="auto"/>
                                <w:bottom w:val="none" w:sz="0" w:space="0" w:color="auto"/>
                                <w:right w:val="none" w:sz="0" w:space="0" w:color="auto"/>
                              </w:divBdr>
                              <w:divsChild>
                                <w:div w:id="1299527937">
                                  <w:marLeft w:val="150"/>
                                  <w:marRight w:val="150"/>
                                  <w:marTop w:val="0"/>
                                  <w:marBottom w:val="0"/>
                                  <w:divBdr>
                                    <w:top w:val="none" w:sz="0" w:space="0" w:color="auto"/>
                                    <w:left w:val="none" w:sz="0" w:space="0" w:color="auto"/>
                                    <w:bottom w:val="none" w:sz="0" w:space="0" w:color="auto"/>
                                    <w:right w:val="none" w:sz="0" w:space="0" w:color="auto"/>
                                  </w:divBdr>
                                  <w:divsChild>
                                    <w:div w:id="869143785">
                                      <w:marLeft w:val="0"/>
                                      <w:marRight w:val="0"/>
                                      <w:marTop w:val="0"/>
                                      <w:marBottom w:val="0"/>
                                      <w:divBdr>
                                        <w:top w:val="none" w:sz="0" w:space="0" w:color="auto"/>
                                        <w:left w:val="none" w:sz="0" w:space="0" w:color="auto"/>
                                        <w:bottom w:val="none" w:sz="0" w:space="0" w:color="auto"/>
                                        <w:right w:val="none" w:sz="0" w:space="0" w:color="auto"/>
                                      </w:divBdr>
                                      <w:divsChild>
                                        <w:div w:id="382488136">
                                          <w:marLeft w:val="0"/>
                                          <w:marRight w:val="0"/>
                                          <w:marTop w:val="360"/>
                                          <w:marBottom w:val="0"/>
                                          <w:divBdr>
                                            <w:top w:val="none" w:sz="0" w:space="0" w:color="auto"/>
                                            <w:left w:val="none" w:sz="0" w:space="0" w:color="auto"/>
                                            <w:bottom w:val="none" w:sz="0" w:space="0" w:color="auto"/>
                                            <w:right w:val="none" w:sz="0" w:space="0" w:color="auto"/>
                                          </w:divBdr>
                                          <w:divsChild>
                                            <w:div w:id="1958246938">
                                              <w:marLeft w:val="0"/>
                                              <w:marRight w:val="0"/>
                                              <w:marTop w:val="0"/>
                                              <w:marBottom w:val="0"/>
                                              <w:divBdr>
                                                <w:top w:val="none" w:sz="0" w:space="0" w:color="auto"/>
                                                <w:left w:val="none" w:sz="0" w:space="0" w:color="auto"/>
                                                <w:bottom w:val="none" w:sz="0" w:space="0" w:color="auto"/>
                                                <w:right w:val="none" w:sz="0" w:space="0" w:color="auto"/>
                                              </w:divBdr>
                                              <w:divsChild>
                                                <w:div w:id="468010529">
                                                  <w:marLeft w:val="0"/>
                                                  <w:marRight w:val="0"/>
                                                  <w:marTop w:val="0"/>
                                                  <w:marBottom w:val="0"/>
                                                  <w:divBdr>
                                                    <w:top w:val="none" w:sz="0" w:space="0" w:color="auto"/>
                                                    <w:left w:val="none" w:sz="0" w:space="0" w:color="auto"/>
                                                    <w:bottom w:val="none" w:sz="0" w:space="0" w:color="auto"/>
                                                    <w:right w:val="none" w:sz="0" w:space="0" w:color="auto"/>
                                                  </w:divBdr>
                                                </w:div>
                                              </w:divsChild>
                                            </w:div>
                                            <w:div w:id="176325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700209">
                      <w:marLeft w:val="150"/>
                      <w:marRight w:val="150"/>
                      <w:marTop w:val="0"/>
                      <w:marBottom w:val="0"/>
                      <w:divBdr>
                        <w:top w:val="none" w:sz="0" w:space="0" w:color="auto"/>
                        <w:left w:val="none" w:sz="0" w:space="0" w:color="auto"/>
                        <w:bottom w:val="none" w:sz="0" w:space="0" w:color="auto"/>
                        <w:right w:val="none" w:sz="0" w:space="0" w:color="auto"/>
                      </w:divBdr>
                      <w:divsChild>
                        <w:div w:id="23334061">
                          <w:marLeft w:val="0"/>
                          <w:marRight w:val="0"/>
                          <w:marTop w:val="0"/>
                          <w:marBottom w:val="0"/>
                          <w:divBdr>
                            <w:top w:val="none" w:sz="0" w:space="0" w:color="auto"/>
                            <w:left w:val="none" w:sz="0" w:space="0" w:color="auto"/>
                            <w:bottom w:val="none" w:sz="0" w:space="0" w:color="auto"/>
                            <w:right w:val="none" w:sz="0" w:space="0" w:color="auto"/>
                          </w:divBdr>
                          <w:divsChild>
                            <w:div w:id="883830751">
                              <w:marLeft w:val="0"/>
                              <w:marRight w:val="0"/>
                              <w:marTop w:val="0"/>
                              <w:marBottom w:val="0"/>
                              <w:divBdr>
                                <w:top w:val="none" w:sz="0" w:space="0" w:color="auto"/>
                                <w:left w:val="none" w:sz="0" w:space="0" w:color="auto"/>
                                <w:bottom w:val="none" w:sz="0" w:space="0" w:color="auto"/>
                                <w:right w:val="none" w:sz="0" w:space="0" w:color="auto"/>
                              </w:divBdr>
                              <w:divsChild>
                                <w:div w:id="2132480081">
                                  <w:marLeft w:val="0"/>
                                  <w:marRight w:val="0"/>
                                  <w:marTop w:val="0"/>
                                  <w:marBottom w:val="0"/>
                                  <w:divBdr>
                                    <w:top w:val="none" w:sz="0" w:space="0" w:color="auto"/>
                                    <w:left w:val="none" w:sz="0" w:space="0" w:color="auto"/>
                                    <w:bottom w:val="none" w:sz="0" w:space="0" w:color="auto"/>
                                    <w:right w:val="none" w:sz="0" w:space="0" w:color="auto"/>
                                  </w:divBdr>
                                </w:div>
                                <w:div w:id="417219116">
                                  <w:marLeft w:val="0"/>
                                  <w:marRight w:val="0"/>
                                  <w:marTop w:val="0"/>
                                  <w:marBottom w:val="0"/>
                                  <w:divBdr>
                                    <w:top w:val="none" w:sz="0" w:space="0" w:color="auto"/>
                                    <w:left w:val="none" w:sz="0" w:space="0" w:color="auto"/>
                                    <w:bottom w:val="none" w:sz="0" w:space="0" w:color="auto"/>
                                    <w:right w:val="none" w:sz="0" w:space="0" w:color="auto"/>
                                  </w:divBdr>
                                  <w:divsChild>
                                    <w:div w:id="22822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233138">
              <w:marLeft w:val="0"/>
              <w:marRight w:val="0"/>
              <w:marTop w:val="0"/>
              <w:marBottom w:val="0"/>
              <w:divBdr>
                <w:top w:val="none" w:sz="0" w:space="0" w:color="auto"/>
                <w:left w:val="none" w:sz="0" w:space="0" w:color="auto"/>
                <w:bottom w:val="none" w:sz="0" w:space="0" w:color="auto"/>
                <w:right w:val="none" w:sz="0" w:space="0" w:color="auto"/>
              </w:divBdr>
            </w:div>
            <w:div w:id="822086335">
              <w:marLeft w:val="0"/>
              <w:marRight w:val="0"/>
              <w:marTop w:val="0"/>
              <w:marBottom w:val="0"/>
              <w:divBdr>
                <w:top w:val="none" w:sz="0" w:space="0" w:color="auto"/>
                <w:left w:val="none" w:sz="0" w:space="0" w:color="auto"/>
                <w:bottom w:val="none" w:sz="0" w:space="0" w:color="auto"/>
                <w:right w:val="none" w:sz="0" w:space="0" w:color="auto"/>
              </w:divBdr>
              <w:divsChild>
                <w:div w:id="1950234838">
                  <w:marLeft w:val="0"/>
                  <w:marRight w:val="0"/>
                  <w:marTop w:val="0"/>
                  <w:marBottom w:val="0"/>
                  <w:divBdr>
                    <w:top w:val="none" w:sz="0" w:space="0" w:color="auto"/>
                    <w:left w:val="none" w:sz="0" w:space="0" w:color="auto"/>
                    <w:bottom w:val="none" w:sz="0" w:space="0" w:color="auto"/>
                    <w:right w:val="none" w:sz="0" w:space="0" w:color="auto"/>
                  </w:divBdr>
                  <w:divsChild>
                    <w:div w:id="22364738">
                      <w:marLeft w:val="150"/>
                      <w:marRight w:val="150"/>
                      <w:marTop w:val="0"/>
                      <w:marBottom w:val="0"/>
                      <w:divBdr>
                        <w:top w:val="none" w:sz="0" w:space="0" w:color="auto"/>
                        <w:left w:val="none" w:sz="0" w:space="0" w:color="auto"/>
                        <w:bottom w:val="none" w:sz="0" w:space="0" w:color="auto"/>
                        <w:right w:val="none" w:sz="0" w:space="0" w:color="auto"/>
                      </w:divBdr>
                      <w:divsChild>
                        <w:div w:id="29642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238179">
                  <w:marLeft w:val="0"/>
                  <w:marRight w:val="0"/>
                  <w:marTop w:val="0"/>
                  <w:marBottom w:val="0"/>
                  <w:divBdr>
                    <w:top w:val="none" w:sz="0" w:space="0" w:color="auto"/>
                    <w:left w:val="none" w:sz="0" w:space="0" w:color="auto"/>
                    <w:bottom w:val="none" w:sz="0" w:space="0" w:color="auto"/>
                    <w:right w:val="none" w:sz="0" w:space="0" w:color="auto"/>
                  </w:divBdr>
                  <w:divsChild>
                    <w:div w:id="21636944">
                      <w:marLeft w:val="0"/>
                      <w:marRight w:val="0"/>
                      <w:marTop w:val="0"/>
                      <w:marBottom w:val="375"/>
                      <w:divBdr>
                        <w:top w:val="none" w:sz="0" w:space="0" w:color="auto"/>
                        <w:left w:val="none" w:sz="0" w:space="0" w:color="auto"/>
                        <w:bottom w:val="none" w:sz="0" w:space="0" w:color="auto"/>
                        <w:right w:val="none" w:sz="0" w:space="0" w:color="auto"/>
                      </w:divBdr>
                      <w:divsChild>
                        <w:div w:id="8076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39197">
                  <w:marLeft w:val="0"/>
                  <w:marRight w:val="0"/>
                  <w:marTop w:val="0"/>
                  <w:marBottom w:val="0"/>
                  <w:divBdr>
                    <w:top w:val="none" w:sz="0" w:space="0" w:color="auto"/>
                    <w:left w:val="none" w:sz="0" w:space="0" w:color="auto"/>
                    <w:bottom w:val="none" w:sz="0" w:space="0" w:color="auto"/>
                    <w:right w:val="none" w:sz="0" w:space="0" w:color="auto"/>
                  </w:divBdr>
                  <w:divsChild>
                    <w:div w:id="1655447908">
                      <w:marLeft w:val="150"/>
                      <w:marRight w:val="150"/>
                      <w:marTop w:val="0"/>
                      <w:marBottom w:val="0"/>
                      <w:divBdr>
                        <w:top w:val="none" w:sz="0" w:space="0" w:color="auto"/>
                        <w:left w:val="none" w:sz="0" w:space="0" w:color="auto"/>
                        <w:bottom w:val="none" w:sz="0" w:space="0" w:color="auto"/>
                        <w:right w:val="none" w:sz="0" w:space="0" w:color="auto"/>
                      </w:divBdr>
                      <w:divsChild>
                        <w:div w:id="985938370">
                          <w:marLeft w:val="0"/>
                          <w:marRight w:val="0"/>
                          <w:marTop w:val="0"/>
                          <w:marBottom w:val="0"/>
                          <w:divBdr>
                            <w:top w:val="none" w:sz="0" w:space="0" w:color="auto"/>
                            <w:left w:val="none" w:sz="0" w:space="0" w:color="auto"/>
                            <w:bottom w:val="none" w:sz="0" w:space="0" w:color="auto"/>
                            <w:right w:val="none" w:sz="0" w:space="0" w:color="auto"/>
                          </w:divBdr>
                          <w:divsChild>
                            <w:div w:id="793250728">
                              <w:marLeft w:val="0"/>
                              <w:marRight w:val="0"/>
                              <w:marTop w:val="0"/>
                              <w:marBottom w:val="450"/>
                              <w:divBdr>
                                <w:top w:val="none" w:sz="0" w:space="0" w:color="auto"/>
                                <w:left w:val="none" w:sz="0" w:space="0" w:color="auto"/>
                                <w:bottom w:val="none" w:sz="0" w:space="0" w:color="auto"/>
                                <w:right w:val="none" w:sz="0" w:space="0" w:color="auto"/>
                              </w:divBdr>
                              <w:divsChild>
                                <w:div w:id="855966434">
                                  <w:marLeft w:val="0"/>
                                  <w:marRight w:val="0"/>
                                  <w:marTop w:val="0"/>
                                  <w:marBottom w:val="0"/>
                                  <w:divBdr>
                                    <w:top w:val="none" w:sz="0" w:space="0" w:color="auto"/>
                                    <w:left w:val="none" w:sz="0" w:space="0" w:color="auto"/>
                                    <w:bottom w:val="none" w:sz="0" w:space="0" w:color="auto"/>
                                    <w:right w:val="none" w:sz="0" w:space="0" w:color="auto"/>
                                  </w:divBdr>
                                  <w:divsChild>
                                    <w:div w:id="1609389463">
                                      <w:marLeft w:val="0"/>
                                      <w:marRight w:val="0"/>
                                      <w:marTop w:val="0"/>
                                      <w:marBottom w:val="0"/>
                                      <w:divBdr>
                                        <w:top w:val="none" w:sz="0" w:space="0" w:color="auto"/>
                                        <w:left w:val="none" w:sz="0" w:space="0" w:color="auto"/>
                                        <w:bottom w:val="none" w:sz="0" w:space="0" w:color="auto"/>
                                        <w:right w:val="none" w:sz="0" w:space="0" w:color="auto"/>
                                      </w:divBdr>
                                      <w:divsChild>
                                        <w:div w:id="1185482044">
                                          <w:marLeft w:val="0"/>
                                          <w:marRight w:val="0"/>
                                          <w:marTop w:val="0"/>
                                          <w:marBottom w:val="0"/>
                                          <w:divBdr>
                                            <w:top w:val="none" w:sz="0" w:space="0" w:color="auto"/>
                                            <w:left w:val="none" w:sz="0" w:space="0" w:color="auto"/>
                                            <w:bottom w:val="none" w:sz="0" w:space="0" w:color="auto"/>
                                            <w:right w:val="none" w:sz="0" w:space="0" w:color="auto"/>
                                          </w:divBdr>
                                          <w:divsChild>
                                            <w:div w:id="296759583">
                                              <w:marLeft w:val="0"/>
                                              <w:marRight w:val="0"/>
                                              <w:marTop w:val="0"/>
                                              <w:marBottom w:val="0"/>
                                              <w:divBdr>
                                                <w:top w:val="none" w:sz="0" w:space="0" w:color="auto"/>
                                                <w:left w:val="none" w:sz="0" w:space="0" w:color="auto"/>
                                                <w:bottom w:val="none" w:sz="0" w:space="0" w:color="auto"/>
                                                <w:right w:val="none" w:sz="0" w:space="0" w:color="auto"/>
                                              </w:divBdr>
                                            </w:div>
                                            <w:div w:id="594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59197">
                                  <w:marLeft w:val="0"/>
                                  <w:marRight w:val="0"/>
                                  <w:marTop w:val="0"/>
                                  <w:marBottom w:val="0"/>
                                  <w:divBdr>
                                    <w:top w:val="none" w:sz="0" w:space="0" w:color="auto"/>
                                    <w:left w:val="none" w:sz="0" w:space="0" w:color="auto"/>
                                    <w:bottom w:val="none" w:sz="0" w:space="0" w:color="auto"/>
                                    <w:right w:val="none" w:sz="0" w:space="0" w:color="auto"/>
                                  </w:divBdr>
                                  <w:divsChild>
                                    <w:div w:id="22677377">
                                      <w:marLeft w:val="0"/>
                                      <w:marRight w:val="0"/>
                                      <w:marTop w:val="0"/>
                                      <w:marBottom w:val="0"/>
                                      <w:divBdr>
                                        <w:top w:val="none" w:sz="0" w:space="0" w:color="auto"/>
                                        <w:left w:val="none" w:sz="0" w:space="0" w:color="auto"/>
                                        <w:bottom w:val="none" w:sz="0" w:space="0" w:color="auto"/>
                                        <w:right w:val="none" w:sz="0" w:space="0" w:color="auto"/>
                                      </w:divBdr>
                                      <w:divsChild>
                                        <w:div w:id="386687230">
                                          <w:marLeft w:val="0"/>
                                          <w:marRight w:val="0"/>
                                          <w:marTop w:val="0"/>
                                          <w:marBottom w:val="0"/>
                                          <w:divBdr>
                                            <w:top w:val="none" w:sz="0" w:space="0" w:color="auto"/>
                                            <w:left w:val="none" w:sz="0" w:space="0" w:color="auto"/>
                                            <w:bottom w:val="none" w:sz="0" w:space="0" w:color="auto"/>
                                            <w:right w:val="none" w:sz="0" w:space="0" w:color="auto"/>
                                          </w:divBdr>
                                          <w:divsChild>
                                            <w:div w:id="685444398">
                                              <w:marLeft w:val="0"/>
                                              <w:marRight w:val="0"/>
                                              <w:marTop w:val="0"/>
                                              <w:marBottom w:val="0"/>
                                              <w:divBdr>
                                                <w:top w:val="none" w:sz="0" w:space="0" w:color="auto"/>
                                                <w:left w:val="none" w:sz="0" w:space="0" w:color="auto"/>
                                                <w:bottom w:val="none" w:sz="0" w:space="0" w:color="auto"/>
                                                <w:right w:val="none" w:sz="0" w:space="0" w:color="auto"/>
                                              </w:divBdr>
                                            </w:div>
                                            <w:div w:id="416247030">
                                              <w:marLeft w:val="0"/>
                                              <w:marRight w:val="0"/>
                                              <w:marTop w:val="0"/>
                                              <w:marBottom w:val="0"/>
                                              <w:divBdr>
                                                <w:top w:val="none" w:sz="0" w:space="0" w:color="auto"/>
                                                <w:left w:val="none" w:sz="0" w:space="0" w:color="auto"/>
                                                <w:bottom w:val="none" w:sz="0" w:space="0" w:color="auto"/>
                                                <w:right w:val="none" w:sz="0" w:space="0" w:color="auto"/>
                                              </w:divBdr>
                                            </w:div>
                                            <w:div w:id="845754425">
                                              <w:marLeft w:val="0"/>
                                              <w:marRight w:val="0"/>
                                              <w:marTop w:val="0"/>
                                              <w:marBottom w:val="0"/>
                                              <w:divBdr>
                                                <w:top w:val="none" w:sz="0" w:space="0" w:color="auto"/>
                                                <w:left w:val="none" w:sz="0" w:space="0" w:color="auto"/>
                                                <w:bottom w:val="none" w:sz="0" w:space="0" w:color="auto"/>
                                                <w:right w:val="none" w:sz="0" w:space="0" w:color="auto"/>
                                              </w:divBdr>
                                            </w:div>
                                          </w:divsChild>
                                        </w:div>
                                        <w:div w:id="101532546">
                                          <w:marLeft w:val="0"/>
                                          <w:marRight w:val="0"/>
                                          <w:marTop w:val="0"/>
                                          <w:marBottom w:val="0"/>
                                          <w:divBdr>
                                            <w:top w:val="none" w:sz="0" w:space="0" w:color="auto"/>
                                            <w:left w:val="none" w:sz="0" w:space="0" w:color="auto"/>
                                            <w:bottom w:val="none" w:sz="0" w:space="0" w:color="auto"/>
                                            <w:right w:val="none" w:sz="0" w:space="0" w:color="auto"/>
                                          </w:divBdr>
                                          <w:divsChild>
                                            <w:div w:id="570193971">
                                              <w:marLeft w:val="0"/>
                                              <w:marRight w:val="0"/>
                                              <w:marTop w:val="0"/>
                                              <w:marBottom w:val="0"/>
                                              <w:divBdr>
                                                <w:top w:val="none" w:sz="0" w:space="0" w:color="auto"/>
                                                <w:left w:val="none" w:sz="0" w:space="0" w:color="auto"/>
                                                <w:bottom w:val="none" w:sz="0" w:space="0" w:color="auto"/>
                                                <w:right w:val="none" w:sz="0" w:space="0" w:color="auto"/>
                                              </w:divBdr>
                                            </w:div>
                                            <w:div w:id="1529492033">
                                              <w:marLeft w:val="0"/>
                                              <w:marRight w:val="0"/>
                                              <w:marTop w:val="0"/>
                                              <w:marBottom w:val="0"/>
                                              <w:divBdr>
                                                <w:top w:val="none" w:sz="0" w:space="0" w:color="auto"/>
                                                <w:left w:val="none" w:sz="0" w:space="0" w:color="auto"/>
                                                <w:bottom w:val="none" w:sz="0" w:space="0" w:color="auto"/>
                                                <w:right w:val="none" w:sz="0" w:space="0" w:color="auto"/>
                                              </w:divBdr>
                                            </w:div>
                                            <w:div w:id="181085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157626">
                                  <w:marLeft w:val="0"/>
                                  <w:marRight w:val="0"/>
                                  <w:marTop w:val="0"/>
                                  <w:marBottom w:val="0"/>
                                  <w:divBdr>
                                    <w:top w:val="none" w:sz="0" w:space="0" w:color="auto"/>
                                    <w:left w:val="none" w:sz="0" w:space="0" w:color="auto"/>
                                    <w:bottom w:val="none" w:sz="0" w:space="0" w:color="auto"/>
                                    <w:right w:val="none" w:sz="0" w:space="0" w:color="auto"/>
                                  </w:divBdr>
                                  <w:divsChild>
                                    <w:div w:id="2021081276">
                                      <w:marLeft w:val="0"/>
                                      <w:marRight w:val="0"/>
                                      <w:marTop w:val="0"/>
                                      <w:marBottom w:val="0"/>
                                      <w:divBdr>
                                        <w:top w:val="none" w:sz="0" w:space="0" w:color="auto"/>
                                        <w:left w:val="none" w:sz="0" w:space="0" w:color="auto"/>
                                        <w:bottom w:val="none" w:sz="0" w:space="0" w:color="auto"/>
                                        <w:right w:val="none" w:sz="0" w:space="0" w:color="auto"/>
                                      </w:divBdr>
                                      <w:divsChild>
                                        <w:div w:id="20423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quotes.wsj.com/IT/UC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quotes.wsj.com/IT/BMP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wsj.com/articles/ecb-says-25-banks-fail-stress-tests-1414321240" TargetMode="External"/><Relationship Id="rId11" Type="http://schemas.openxmlformats.org/officeDocument/2006/relationships/hyperlink" Target="mailto:helen.thomas@wsj.com" TargetMode="External"/><Relationship Id="rId5" Type="http://schemas.openxmlformats.org/officeDocument/2006/relationships/webSettings" Target="webSettings.xml"/><Relationship Id="rId10" Type="http://schemas.openxmlformats.org/officeDocument/2006/relationships/hyperlink" Target="mailto:david.reilly@wsj.com" TargetMode="External"/><Relationship Id="rId4" Type="http://schemas.openxmlformats.org/officeDocument/2006/relationships/settings" Target="settings.xml"/><Relationship Id="rId9" Type="http://schemas.openxmlformats.org/officeDocument/2006/relationships/hyperlink" Target="http://quotes.wsj.com/IT/M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UCF College of Business Administration</Company>
  <LinksUpToDate>false</LinksUpToDate>
  <CharactersWithSpaces>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UCF</dc:creator>
  <cp:lastModifiedBy>UCF</cp:lastModifiedBy>
  <cp:revision>1</cp:revision>
  <dcterms:created xsi:type="dcterms:W3CDTF">2014-10-28T18:48:00Z</dcterms:created>
  <dcterms:modified xsi:type="dcterms:W3CDTF">2014-10-28T18:53:00Z</dcterms:modified>
</cp:coreProperties>
</file>